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2C" w:rsidRDefault="00286D2C" w:rsidP="00286D2C">
      <w:pPr>
        <w:ind w:right="720"/>
        <w:jc w:val="left"/>
        <w:rPr>
          <w:rFonts w:ascii="仿宋_GB2312" w:eastAsia="仿宋_GB2312"/>
          <w:sz w:val="32"/>
          <w:szCs w:val="32"/>
        </w:rPr>
      </w:pPr>
      <w:r w:rsidRPr="00513B82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表2</w:t>
      </w:r>
      <w:r w:rsidRPr="00513B82">
        <w:rPr>
          <w:rFonts w:ascii="仿宋_GB2312" w:eastAsia="仿宋_GB2312" w:hint="eastAsia"/>
          <w:sz w:val="32"/>
          <w:szCs w:val="32"/>
        </w:rPr>
        <w:t>：</w:t>
      </w:r>
    </w:p>
    <w:p w:rsidR="00286D2C" w:rsidRPr="00FF15A2" w:rsidRDefault="00286D2C" w:rsidP="00286D2C">
      <w:pPr>
        <w:snapToGrid w:val="0"/>
        <w:jc w:val="center"/>
        <w:outlineLvl w:val="0"/>
        <w:rPr>
          <w:rFonts w:ascii="宋体" w:hAnsi="宋体"/>
          <w:b/>
          <w:color w:val="000000"/>
          <w:sz w:val="28"/>
          <w:szCs w:val="28"/>
        </w:rPr>
      </w:pPr>
      <w:r w:rsidRPr="00FF15A2">
        <w:rPr>
          <w:rFonts w:ascii="宋体" w:hAnsi="宋体" w:hint="eastAsia"/>
          <w:b/>
          <w:color w:val="000000"/>
          <w:sz w:val="32"/>
          <w:szCs w:val="32"/>
        </w:rPr>
        <w:t>安全生产标准化评审否决项检查表</w:t>
      </w:r>
      <w:r w:rsidRPr="00FF15A2">
        <w:rPr>
          <w:rFonts w:ascii="宋体" w:hAnsi="宋体" w:hint="eastAsia"/>
          <w:b/>
          <w:color w:val="000000"/>
          <w:sz w:val="28"/>
          <w:szCs w:val="28"/>
        </w:rPr>
        <w:t>（专项工作否决项）</w:t>
      </w:r>
    </w:p>
    <w:tbl>
      <w:tblPr>
        <w:tblW w:w="49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1277"/>
        <w:gridCol w:w="4956"/>
        <w:gridCol w:w="801"/>
        <w:gridCol w:w="848"/>
        <w:gridCol w:w="3122"/>
        <w:gridCol w:w="2265"/>
      </w:tblGrid>
      <w:tr w:rsidR="00286D2C" w:rsidRPr="00D817D9" w:rsidTr="00E30496">
        <w:trPr>
          <w:tblHeader/>
          <w:jc w:val="center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D817D9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D817D9">
              <w:rPr>
                <w:rFonts w:ascii="Times New Roman" w:hAnsi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D817D9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D817D9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否决</w:t>
            </w:r>
            <w:r w:rsidRPr="00D817D9">
              <w:rPr>
                <w:rFonts w:ascii="Times New Roman" w:hAnsi="Times New Roman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286D2C" w:rsidRPr="00016A0D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16A0D">
              <w:rPr>
                <w:rFonts w:ascii="Times New Roman" w:hAnsi="Times New Roman" w:hint="eastAsia"/>
                <w:b/>
                <w:color w:val="000000"/>
                <w:szCs w:val="21"/>
              </w:rPr>
              <w:t>二级否决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286D2C" w:rsidRPr="00016A0D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16A0D">
              <w:rPr>
                <w:rFonts w:ascii="Times New Roman" w:hAnsi="Times New Roman" w:hint="eastAsia"/>
                <w:b/>
                <w:color w:val="000000"/>
                <w:szCs w:val="21"/>
              </w:rPr>
              <w:t>三级否决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D817D9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817D9">
              <w:rPr>
                <w:rFonts w:ascii="Times New Roman" w:hAnsi="Times New Roman"/>
                <w:b/>
                <w:bCs/>
                <w:color w:val="000000"/>
                <w:szCs w:val="21"/>
              </w:rPr>
              <w:t>评</w:t>
            </w: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审</w:t>
            </w:r>
            <w:r w:rsidRPr="00D817D9">
              <w:rPr>
                <w:rFonts w:ascii="Times New Roman" w:hAnsi="Times New Roman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D817D9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D817D9">
              <w:rPr>
                <w:rFonts w:ascii="Times New Roman" w:hAnsi="Times New Roman"/>
                <w:b/>
                <w:bCs/>
                <w:color w:val="000000"/>
                <w:szCs w:val="21"/>
              </w:rPr>
              <w:t>是否通过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35117E" w:rsidRDefault="00286D2C" w:rsidP="00E30496">
            <w:pPr>
              <w:adjustRightInd w:val="0"/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B0135">
              <w:rPr>
                <w:rFonts w:ascii="Times New Roman" w:hAnsi="Times New Roman" w:hint="eastAsia"/>
                <w:szCs w:val="21"/>
              </w:rPr>
              <w:t>危险化学品经营企业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A85A43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B0135">
              <w:rPr>
                <w:rFonts w:ascii="Times New Roman" w:hAnsi="Times New Roman" w:hint="eastAsia"/>
                <w:szCs w:val="21"/>
              </w:rPr>
              <w:t>涉及可燃和有毒有害气体泄漏的场所按</w:t>
            </w:r>
            <w:r>
              <w:rPr>
                <w:rFonts w:ascii="Times New Roman" w:hAnsi="Times New Roman" w:hint="eastAsia"/>
                <w:szCs w:val="21"/>
              </w:rPr>
              <w:t>照</w:t>
            </w:r>
            <w:r w:rsidRPr="009B0135">
              <w:rPr>
                <w:rFonts w:ascii="Times New Roman" w:hAnsi="Times New Roman" w:hint="eastAsia"/>
                <w:szCs w:val="21"/>
              </w:rPr>
              <w:t>国家标准设置检测报警装置，爆炸危险场所</w:t>
            </w:r>
            <w:r>
              <w:rPr>
                <w:rFonts w:ascii="Times New Roman" w:hAnsi="Times New Roman" w:hint="eastAsia"/>
                <w:szCs w:val="21"/>
              </w:rPr>
              <w:t>按照</w:t>
            </w:r>
            <w:r w:rsidRPr="009B0135">
              <w:rPr>
                <w:rFonts w:ascii="Times New Roman" w:hAnsi="Times New Roman" w:hint="eastAsia"/>
                <w:szCs w:val="21"/>
              </w:rPr>
              <w:t>国家标准安装使用防爆电气设备。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2C" w:rsidRPr="001A7166" w:rsidRDefault="00286D2C" w:rsidP="00E304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tcBorders>
              <w:top w:val="single" w:sz="4" w:space="0" w:color="auto"/>
            </w:tcBorders>
            <w:vAlign w:val="center"/>
          </w:tcPr>
          <w:p w:rsidR="00286D2C" w:rsidRPr="0035117E" w:rsidRDefault="00286D2C" w:rsidP="00E30496">
            <w:pPr>
              <w:adjustRightInd w:val="0"/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油库</w:t>
            </w:r>
          </w:p>
        </w:tc>
        <w:tc>
          <w:tcPr>
            <w:tcW w:w="1770" w:type="pct"/>
            <w:tcBorders>
              <w:top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749BE">
              <w:rPr>
                <w:rFonts w:ascii="Times New Roman" w:hAnsi="Times New Roman" w:hint="eastAsia"/>
                <w:szCs w:val="21"/>
              </w:rPr>
              <w:t>构成一级、二级重大危险源的危险化学品罐区实现紧急切断功能；涉及毒性气体、液化气体、剧毒液体的一级、二级重大危险源的危险化学品罐区配备独立的安全仪表系统。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</w:tcBorders>
            <w:vAlign w:val="center"/>
          </w:tcPr>
          <w:p w:rsidR="00286D2C" w:rsidRPr="001A7166" w:rsidRDefault="00286D2C" w:rsidP="00E304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764730">
              <w:rPr>
                <w:rFonts w:ascii="Times New Roman" w:hAnsi="Times New Roman" w:hint="eastAsia"/>
                <w:szCs w:val="21"/>
              </w:rPr>
              <w:t>金属非金属矿山（地下、露天）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 w:rsidRPr="00764730">
              <w:rPr>
                <w:rFonts w:ascii="Times New Roman" w:hAnsi="Times New Roman" w:hint="eastAsia"/>
                <w:szCs w:val="21"/>
              </w:rPr>
              <w:t>企业建立</w:t>
            </w:r>
            <w:r w:rsidRPr="00764730">
              <w:rPr>
                <w:rFonts w:ascii="Times New Roman" w:hAnsi="Times New Roman"/>
                <w:szCs w:val="21"/>
              </w:rPr>
              <w:t>完善安全生产风险分级管控和隐患排查治理双重预防机制</w:t>
            </w:r>
            <w:r w:rsidRPr="00764730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D2C" w:rsidRPr="001A7166" w:rsidRDefault="00286D2C" w:rsidP="00E304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764730"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 w:rsidRPr="00764730">
              <w:rPr>
                <w:rFonts w:ascii="Times New Roman" w:hAnsi="Times New Roman" w:hint="eastAsia"/>
                <w:szCs w:val="21"/>
              </w:rPr>
              <w:t>评审年度内发生生产安全死亡事故，或</w:t>
            </w:r>
            <w:r w:rsidRPr="00764730">
              <w:rPr>
                <w:rFonts w:ascii="Times New Roman" w:hAnsi="Times New Roman" w:hint="eastAsia"/>
                <w:szCs w:val="21"/>
              </w:rPr>
              <w:t>2</w:t>
            </w:r>
            <w:r w:rsidRPr="00764730">
              <w:rPr>
                <w:rFonts w:ascii="Times New Roman" w:hAnsi="Times New Roman" w:hint="eastAsia"/>
                <w:szCs w:val="21"/>
              </w:rPr>
              <w:t>人以上重伤事故。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D2C" w:rsidRPr="001A7166" w:rsidRDefault="00286D2C" w:rsidP="00E304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764730"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 w:rsidRPr="00764730">
              <w:rPr>
                <w:rFonts w:ascii="Times New Roman" w:hAnsi="Times New Roman" w:hint="eastAsia"/>
                <w:szCs w:val="21"/>
              </w:rPr>
              <w:t>评审年度内发生生产安全死亡事故，或</w:t>
            </w:r>
            <w:r w:rsidRPr="00764730">
              <w:rPr>
                <w:rFonts w:ascii="Times New Roman" w:hAnsi="Times New Roman" w:hint="eastAsia"/>
                <w:szCs w:val="21"/>
              </w:rPr>
              <w:t>3</w:t>
            </w:r>
            <w:r w:rsidRPr="00764730">
              <w:rPr>
                <w:rFonts w:ascii="Times New Roman" w:hAnsi="Times New Roman" w:hint="eastAsia"/>
                <w:szCs w:val="21"/>
              </w:rPr>
              <w:t>人以上重伤事故。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D2C" w:rsidRPr="001A7166" w:rsidRDefault="00286D2C" w:rsidP="00E304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764730">
              <w:rPr>
                <w:rFonts w:ascii="Times New Roman" w:hAnsi="Times New Roman" w:hint="eastAsia"/>
                <w:szCs w:val="21"/>
              </w:rPr>
              <w:t>尾矿库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snapToGrid w:val="0"/>
              <w:rPr>
                <w:rFonts w:ascii="Times New Roman" w:hAnsi="Times New Roman"/>
                <w:szCs w:val="21"/>
              </w:rPr>
            </w:pPr>
            <w:r w:rsidRPr="00764730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 w:rsidRPr="00764730">
              <w:rPr>
                <w:rFonts w:ascii="Times New Roman" w:hAnsi="Times New Roman" w:hint="eastAsia"/>
                <w:szCs w:val="21"/>
              </w:rPr>
              <w:t>未使用在线监测系统。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D2C" w:rsidRPr="001A7166" w:rsidRDefault="00286D2C" w:rsidP="00E304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snapToGrid w:val="0"/>
              <w:rPr>
                <w:rFonts w:ascii="Times New Roman" w:hAnsi="Times New Roman"/>
                <w:szCs w:val="21"/>
              </w:rPr>
            </w:pPr>
            <w:r w:rsidRPr="00764730"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 w:rsidRPr="00764730">
              <w:rPr>
                <w:rFonts w:ascii="Times New Roman" w:hAnsi="Times New Roman" w:hint="eastAsia"/>
                <w:szCs w:val="21"/>
              </w:rPr>
              <w:t>在评审年度内发生重伤及以上生产安全事故。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D2C" w:rsidRPr="001A7166" w:rsidRDefault="00286D2C" w:rsidP="00E304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764730">
              <w:rPr>
                <w:rFonts w:ascii="Times New Roman" w:hAnsi="Times New Roman" w:hint="eastAsia"/>
                <w:szCs w:val="21"/>
              </w:rPr>
              <w:t>金属非金属矿产资源勘查单位、石油天然气技术服务企业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764730">
              <w:rPr>
                <w:rFonts w:ascii="Times New Roman" w:hAnsi="Times New Roman" w:hint="eastAsia"/>
                <w:szCs w:val="21"/>
              </w:rPr>
              <w:t>1.</w:t>
            </w:r>
            <w:r w:rsidRPr="00764730">
              <w:rPr>
                <w:rFonts w:ascii="Times New Roman" w:hAnsi="Times New Roman"/>
                <w:szCs w:val="21"/>
              </w:rPr>
              <w:t>评审年度内发生</w:t>
            </w:r>
            <w:r w:rsidRPr="00764730">
              <w:rPr>
                <w:rFonts w:ascii="Times New Roman" w:hAnsi="Times New Roman" w:hint="eastAsia"/>
                <w:szCs w:val="21"/>
              </w:rPr>
              <w:t>重伤及以上</w:t>
            </w:r>
            <w:r w:rsidRPr="00764730">
              <w:rPr>
                <w:rFonts w:ascii="Times New Roman" w:hAnsi="Times New Roman"/>
                <w:szCs w:val="21"/>
              </w:rPr>
              <w:t>生产</w:t>
            </w:r>
            <w:r w:rsidRPr="00764730">
              <w:rPr>
                <w:rFonts w:ascii="Times New Roman" w:hAnsi="Times New Roman" w:hint="eastAsia"/>
                <w:szCs w:val="21"/>
              </w:rPr>
              <w:t>安全</w:t>
            </w:r>
            <w:r w:rsidRPr="00764730">
              <w:rPr>
                <w:rFonts w:ascii="Times New Roman" w:hAnsi="Times New Roman"/>
                <w:szCs w:val="21"/>
              </w:rPr>
              <w:t>事故</w:t>
            </w:r>
            <w:r w:rsidRPr="00764730">
              <w:rPr>
                <w:rFonts w:ascii="Times New Roman" w:hAnsi="Times New Roman" w:hint="eastAsia"/>
                <w:szCs w:val="21"/>
              </w:rPr>
              <w:t>，或</w:t>
            </w:r>
            <w:r w:rsidRPr="00764730">
              <w:rPr>
                <w:rFonts w:ascii="Times New Roman" w:hAnsi="Times New Roman"/>
                <w:szCs w:val="21"/>
              </w:rPr>
              <w:t>造成</w:t>
            </w:r>
            <w:r w:rsidRPr="00764730">
              <w:rPr>
                <w:rFonts w:ascii="Times New Roman" w:hAnsi="Times New Roman" w:hint="eastAsia"/>
                <w:szCs w:val="21"/>
              </w:rPr>
              <w:t>2</w:t>
            </w:r>
            <w:r w:rsidRPr="00764730">
              <w:rPr>
                <w:rFonts w:ascii="Times New Roman" w:hAnsi="Times New Roman" w:hint="eastAsia"/>
                <w:szCs w:val="21"/>
              </w:rPr>
              <w:t>人以上轻</w:t>
            </w:r>
            <w:r w:rsidRPr="00764730">
              <w:rPr>
                <w:rFonts w:ascii="Times New Roman" w:hAnsi="Times New Roman"/>
                <w:szCs w:val="21"/>
              </w:rPr>
              <w:t>伤</w:t>
            </w:r>
            <w:r w:rsidRPr="00764730">
              <w:rPr>
                <w:rFonts w:ascii="Times New Roman" w:hAnsi="Times New Roman" w:hint="eastAsia"/>
                <w:szCs w:val="21"/>
              </w:rPr>
              <w:t>事故</w:t>
            </w:r>
            <w:r w:rsidRPr="00764730"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D2C" w:rsidRPr="001A7166" w:rsidRDefault="00286D2C" w:rsidP="00E304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764730">
              <w:rPr>
                <w:rFonts w:ascii="Times New Roman" w:hAnsi="Times New Roman" w:hint="eastAsia"/>
                <w:szCs w:val="21"/>
              </w:rPr>
              <w:t>2.</w:t>
            </w:r>
            <w:r w:rsidRPr="00764730">
              <w:rPr>
                <w:rFonts w:ascii="Times New Roman" w:hAnsi="Times New Roman"/>
                <w:szCs w:val="21"/>
              </w:rPr>
              <w:t>评审年度内发生</w:t>
            </w:r>
            <w:r w:rsidRPr="00764730">
              <w:rPr>
                <w:rFonts w:ascii="Times New Roman" w:hAnsi="Times New Roman" w:hint="eastAsia"/>
                <w:szCs w:val="21"/>
              </w:rPr>
              <w:t>重伤及以上</w:t>
            </w:r>
            <w:r w:rsidRPr="00764730">
              <w:rPr>
                <w:rFonts w:ascii="Times New Roman" w:hAnsi="Times New Roman"/>
                <w:szCs w:val="21"/>
              </w:rPr>
              <w:t>生产</w:t>
            </w:r>
            <w:r w:rsidRPr="00764730">
              <w:rPr>
                <w:rFonts w:ascii="Times New Roman" w:hAnsi="Times New Roman" w:hint="eastAsia"/>
                <w:szCs w:val="21"/>
              </w:rPr>
              <w:t>安全</w:t>
            </w:r>
            <w:r w:rsidRPr="00764730">
              <w:rPr>
                <w:rFonts w:ascii="Times New Roman" w:hAnsi="Times New Roman"/>
                <w:szCs w:val="21"/>
              </w:rPr>
              <w:t>事故。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D2C" w:rsidRPr="001A7166" w:rsidRDefault="00286D2C" w:rsidP="00E304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F15A2">
              <w:rPr>
                <w:rFonts w:ascii="宋体" w:hAnsi="宋体"/>
                <w:szCs w:val="21"/>
              </w:rPr>
              <w:t>通过□</w:t>
            </w:r>
            <w:r w:rsidRPr="00FF15A2">
              <w:rPr>
                <w:rFonts w:ascii="宋体" w:hAnsi="宋体" w:hint="eastAsia"/>
                <w:szCs w:val="21"/>
              </w:rPr>
              <w:t xml:space="preserve"> </w:t>
            </w:r>
            <w:r w:rsidRPr="00FF15A2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职业卫生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455C68">
              <w:rPr>
                <w:rFonts w:ascii="Times New Roman" w:hAnsi="Times New Roman" w:hint="eastAsia"/>
                <w:szCs w:val="21"/>
              </w:rPr>
              <w:t>1.</w:t>
            </w:r>
            <w:r w:rsidRPr="00455C68">
              <w:rPr>
                <w:rFonts w:ascii="Times New Roman" w:hAnsi="Times New Roman"/>
                <w:szCs w:val="21"/>
              </w:rPr>
              <w:t>职业病危害防治责任制度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D2C" w:rsidRPr="001A7166" w:rsidRDefault="00286D2C" w:rsidP="00E304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 w:rsidRPr="00455C68">
              <w:rPr>
                <w:rFonts w:ascii="Times New Roman" w:hAnsi="Times New Roman"/>
                <w:szCs w:val="21"/>
              </w:rPr>
              <w:t>职业病危害警示与告知制度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 w:rsidRPr="00455C68">
              <w:rPr>
                <w:rFonts w:ascii="Times New Roman" w:hAnsi="Times New Roman"/>
                <w:szCs w:val="21"/>
              </w:rPr>
              <w:t>职业病危害项目申报制度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4.</w:t>
            </w:r>
            <w:r w:rsidRPr="00455C68">
              <w:rPr>
                <w:rFonts w:ascii="Times New Roman" w:hAnsi="Times New Roman"/>
                <w:szCs w:val="21"/>
              </w:rPr>
              <w:t>职业病防治宣传教育培训制度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5.</w:t>
            </w:r>
            <w:r w:rsidRPr="00455C68">
              <w:rPr>
                <w:rFonts w:ascii="Times New Roman" w:hAnsi="Times New Roman"/>
                <w:szCs w:val="21"/>
              </w:rPr>
              <w:t>职业病防护设施维护检修制度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6.</w:t>
            </w:r>
            <w:r w:rsidRPr="00455C68">
              <w:rPr>
                <w:rFonts w:ascii="Times New Roman" w:hAnsi="Times New Roman"/>
                <w:szCs w:val="21"/>
              </w:rPr>
              <w:t>职业病防护用品管理制度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7.</w:t>
            </w:r>
            <w:r w:rsidRPr="00455C68">
              <w:rPr>
                <w:rFonts w:ascii="Times New Roman" w:hAnsi="Times New Roman"/>
                <w:szCs w:val="21"/>
              </w:rPr>
              <w:t>职业病危害监测及评价管理制度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8.</w:t>
            </w:r>
            <w:r w:rsidRPr="00455C68">
              <w:rPr>
                <w:rFonts w:ascii="Times New Roman" w:hAnsi="Times New Roman"/>
                <w:szCs w:val="21"/>
              </w:rPr>
              <w:t>建设项目职业卫生</w:t>
            </w:r>
            <w:r w:rsidRPr="00455C68">
              <w:rPr>
                <w:rFonts w:ascii="Times New Roman" w:hAnsi="Times New Roman"/>
                <w:szCs w:val="21"/>
              </w:rPr>
              <w:t>“</w:t>
            </w:r>
            <w:r w:rsidRPr="00455C68">
              <w:rPr>
                <w:rFonts w:ascii="Times New Roman" w:hAnsi="Times New Roman"/>
                <w:szCs w:val="21"/>
              </w:rPr>
              <w:t>三同时</w:t>
            </w:r>
            <w:r w:rsidRPr="00455C68">
              <w:rPr>
                <w:rFonts w:ascii="Times New Roman" w:hAnsi="Times New Roman"/>
                <w:szCs w:val="21"/>
              </w:rPr>
              <w:t>”</w:t>
            </w:r>
            <w:r w:rsidRPr="00455C68">
              <w:rPr>
                <w:rFonts w:ascii="Times New Roman" w:hAnsi="Times New Roman"/>
                <w:szCs w:val="21"/>
              </w:rPr>
              <w:t>管理制度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9.</w:t>
            </w:r>
            <w:r w:rsidRPr="00455C68">
              <w:rPr>
                <w:rFonts w:ascii="Times New Roman" w:hAnsi="Times New Roman"/>
                <w:szCs w:val="21"/>
              </w:rPr>
              <w:t>劳动者职业健康监护及其档案管理制度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10.</w:t>
            </w:r>
            <w:r w:rsidRPr="00455C68">
              <w:rPr>
                <w:rFonts w:ascii="Times New Roman" w:hAnsi="Times New Roman"/>
                <w:szCs w:val="21"/>
              </w:rPr>
              <w:t>职业病危害事故处置与报告制度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11.</w:t>
            </w:r>
            <w:r w:rsidRPr="00455C68">
              <w:rPr>
                <w:rFonts w:ascii="Times New Roman" w:hAnsi="Times New Roman"/>
                <w:szCs w:val="21"/>
              </w:rPr>
              <w:t>职业病危害应急救援与管理制度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3749B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12.</w:t>
            </w:r>
            <w:r w:rsidRPr="00455C68">
              <w:rPr>
                <w:rFonts w:ascii="Times New Roman" w:hAnsi="Times New Roman"/>
                <w:szCs w:val="21"/>
              </w:rPr>
              <w:t>岗位职业卫生操作规程</w:t>
            </w:r>
            <w:r w:rsidRPr="00455C68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联合惩戒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455C68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455C68">
              <w:rPr>
                <w:rFonts w:ascii="Times New Roman" w:hAnsi="Times New Roman" w:hint="eastAsia"/>
                <w:szCs w:val="21"/>
              </w:rPr>
              <w:t>被纳入联合惩戒对象。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6D2C" w:rsidRPr="00B36DBB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安全生产责任险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C" w:rsidRPr="0053349E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 w:rsidRPr="00455C68">
              <w:rPr>
                <w:rFonts w:ascii="Times New Roman" w:hAnsi="Times New Roman" w:hint="eastAsia"/>
                <w:szCs w:val="21"/>
              </w:rPr>
              <w:t>矿山、危险化学品、烟花爆竹、交通运输、建筑施工、民用爆炸物品、金属冶炼七个高危行业投保安全生产责任保险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  <w:tr w:rsidR="00286D2C" w:rsidRPr="00D817D9" w:rsidTr="00E30496">
        <w:trPr>
          <w:tblHeader/>
          <w:jc w:val="center"/>
        </w:trPr>
        <w:tc>
          <w:tcPr>
            <w:tcW w:w="2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C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C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C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 w:rsidRPr="0053349E">
              <w:rPr>
                <w:rFonts w:ascii="Times New Roman" w:hAnsi="Times New Roman" w:hint="eastAsia"/>
                <w:szCs w:val="21"/>
              </w:rPr>
              <w:t>未按规定提取和使用安全生产费用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C" w:rsidRPr="00764730" w:rsidRDefault="00286D2C" w:rsidP="00E304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2C" w:rsidRPr="009B0135" w:rsidRDefault="00286D2C" w:rsidP="00E3049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D2C" w:rsidRDefault="00286D2C" w:rsidP="00E30496">
            <w:pPr>
              <w:snapToGrid w:val="0"/>
              <w:jc w:val="center"/>
            </w:pPr>
            <w:r w:rsidRPr="001A7166">
              <w:rPr>
                <w:rFonts w:ascii="宋体" w:hAnsi="宋体"/>
                <w:szCs w:val="21"/>
              </w:rPr>
              <w:t>通过□</w:t>
            </w:r>
            <w:r w:rsidRPr="001A7166">
              <w:rPr>
                <w:rFonts w:ascii="宋体" w:hAnsi="宋体" w:hint="eastAsia"/>
                <w:szCs w:val="21"/>
              </w:rPr>
              <w:t xml:space="preserve"> </w:t>
            </w:r>
            <w:r w:rsidRPr="001A7166">
              <w:rPr>
                <w:rFonts w:ascii="宋体" w:hAnsi="宋体"/>
                <w:szCs w:val="21"/>
              </w:rPr>
              <w:t>不通过□</w:t>
            </w:r>
          </w:p>
        </w:tc>
      </w:tr>
    </w:tbl>
    <w:p w:rsidR="00286D2C" w:rsidRPr="00513B82" w:rsidRDefault="00286D2C" w:rsidP="00286D2C"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p w:rsidR="00FB2F4D" w:rsidRDefault="00FB2F4D">
      <w:bookmarkStart w:id="0" w:name="_GoBack"/>
      <w:bookmarkEnd w:id="0"/>
    </w:p>
    <w:sectPr w:rsidR="00FB2F4D" w:rsidSect="00FF15A2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7F" w:rsidRDefault="000A087F" w:rsidP="00286D2C">
      <w:r>
        <w:separator/>
      </w:r>
    </w:p>
  </w:endnote>
  <w:endnote w:type="continuationSeparator" w:id="0">
    <w:p w:rsidR="000A087F" w:rsidRDefault="000A087F" w:rsidP="0028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7F" w:rsidRDefault="000A087F" w:rsidP="00286D2C">
      <w:r>
        <w:separator/>
      </w:r>
    </w:p>
  </w:footnote>
  <w:footnote w:type="continuationSeparator" w:id="0">
    <w:p w:rsidR="000A087F" w:rsidRDefault="000A087F" w:rsidP="0028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19"/>
    <w:rsid w:val="000A087F"/>
    <w:rsid w:val="00286D2C"/>
    <w:rsid w:val="006F6919"/>
    <w:rsid w:val="00F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D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D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D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D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2018-07-25T07:57:00Z</dcterms:created>
  <dcterms:modified xsi:type="dcterms:W3CDTF">2018-07-25T07:58:00Z</dcterms:modified>
</cp:coreProperties>
</file>